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40FC">
      <w:pPr>
        <w:spacing w:line="500" w:lineRule="exact"/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>2</w:t>
      </w:r>
    </w:p>
    <w:p w14:paraId="0389CF67">
      <w:pPr>
        <w:pStyle w:val="3"/>
        <w:keepNext w:val="0"/>
        <w:keepLines w:val="0"/>
        <w:widowControl/>
        <w:spacing w:before="0" w:after="0" w:line="560" w:lineRule="exact"/>
        <w:jc w:val="center"/>
        <w:rPr>
          <w:rFonts w:ascii="Times New Roman" w:hAnsi="Times New Roman" w:eastAsia="方正小标宋简体"/>
          <w:b w:val="0"/>
          <w:bCs w:val="0"/>
          <w:color w:val="000000"/>
          <w:szCs w:val="44"/>
        </w:rPr>
      </w:pPr>
    </w:p>
    <w:p w14:paraId="0F70D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常德市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第二届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银发经济消费季活动</w:t>
      </w:r>
    </w:p>
    <w:p w14:paraId="14139FB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after="0" w:line="600" w:lineRule="exact"/>
        <w:jc w:val="center"/>
        <w:textAlignment w:val="auto"/>
        <w:rPr>
          <w:rFonts w:ascii="方正小标宋_GBK" w:hAnsi="方正小标宋_GBK" w:eastAsia="方正小标宋_GBK" w:cs="方正小标宋_GBK"/>
          <w:b w:val="0"/>
          <w:bCs w:val="0"/>
          <w:kern w:val="2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Cs w:val="44"/>
        </w:rPr>
        <w:t>参与企业（机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Cs w:val="44"/>
        </w:rPr>
        <w:t>构）</w:t>
      </w:r>
      <w:r>
        <w:rPr>
          <w:rFonts w:ascii="方正小标宋_GBK" w:hAnsi="方正小标宋_GBK" w:eastAsia="方正小标宋_GBK" w:cs="方正小标宋_GBK"/>
          <w:b w:val="0"/>
          <w:bCs w:val="0"/>
          <w:color w:val="auto"/>
          <w:kern w:val="2"/>
          <w:szCs w:val="44"/>
        </w:rPr>
        <w:t>承诺</w:t>
      </w:r>
      <w:r>
        <w:rPr>
          <w:rFonts w:ascii="方正小标宋_GBK" w:hAnsi="方正小标宋_GBK" w:eastAsia="方正小标宋_GBK" w:cs="方正小标宋_GBK"/>
          <w:b w:val="0"/>
          <w:bCs w:val="0"/>
          <w:kern w:val="2"/>
          <w:szCs w:val="44"/>
        </w:rPr>
        <w:t>书</w:t>
      </w:r>
    </w:p>
    <w:p w14:paraId="7AC41B9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6E725B2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/>
          <w:color w:val="auto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我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企业（机构）</w:t>
      </w:r>
      <w:r>
        <w:rPr>
          <w:rFonts w:ascii="Times New Roman" w:hAnsi="Times New Roman" w:eastAsia="仿宋_GB2312"/>
          <w:color w:val="auto"/>
          <w:sz w:val="32"/>
          <w:szCs w:val="32"/>
        </w:rPr>
        <w:t>自愿参加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常德市第二届</w:t>
      </w:r>
      <w:r>
        <w:rPr>
          <w:rFonts w:ascii="Times New Roman" w:hAnsi="Times New Roman" w:eastAsia="仿宋_GB2312"/>
          <w:color w:val="auto"/>
          <w:sz w:val="32"/>
          <w:szCs w:val="32"/>
        </w:rPr>
        <w:t>银发经济消费季活动，经批准后，承担相应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消费券兑换</w:t>
      </w:r>
      <w:r>
        <w:rPr>
          <w:rFonts w:ascii="Times New Roman" w:hAnsi="Times New Roman" w:eastAsia="仿宋_GB2312"/>
          <w:color w:val="auto"/>
          <w:sz w:val="32"/>
          <w:szCs w:val="32"/>
        </w:rPr>
        <w:t>任务，现郑重承诺如下：</w:t>
      </w:r>
    </w:p>
    <w:p w14:paraId="0E5BA70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1.本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企业（机构）</w:t>
      </w:r>
      <w:r>
        <w:rPr>
          <w:rFonts w:ascii="Times New Roman" w:hAnsi="Times New Roman" w:eastAsia="仿宋_GB2312"/>
          <w:color w:val="auto"/>
          <w:sz w:val="32"/>
          <w:szCs w:val="32"/>
        </w:rPr>
        <w:t>依法合规设立，具备相应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的经营</w:t>
      </w:r>
      <w:r>
        <w:rPr>
          <w:rFonts w:ascii="Times New Roman" w:hAnsi="Times New Roman" w:eastAsia="仿宋_GB2312"/>
          <w:color w:val="auto"/>
          <w:sz w:val="32"/>
          <w:szCs w:val="32"/>
        </w:rPr>
        <w:t>资质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、行业准入资质及开展相关业务所需的法定资源</w:t>
      </w:r>
      <w:r>
        <w:rPr>
          <w:rFonts w:ascii="Times New Roman" w:hAnsi="Times New Roman" w:eastAsia="仿宋_GB2312"/>
          <w:color w:val="auto"/>
          <w:sz w:val="32"/>
          <w:szCs w:val="32"/>
        </w:rPr>
        <w:t>。</w:t>
      </w:r>
    </w:p>
    <w:p w14:paraId="5D73A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2.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参与活动</w:t>
      </w:r>
      <w:r>
        <w:rPr>
          <w:rFonts w:ascii="Times New Roman" w:hAnsi="Times New Roman" w:eastAsia="仿宋_GB2312"/>
          <w:color w:val="auto"/>
          <w:sz w:val="32"/>
          <w:szCs w:val="32"/>
        </w:rPr>
        <w:t>产品符合国家相关安全质量标准和环保要求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；所售项目和服务符合国家行业规范、服务标准及安全管理要求。严格遵守法律法规、合同约定及消费者权益保护相关约定。</w:t>
      </w:r>
    </w:p>
    <w:p w14:paraId="3661583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3.严格遵守活动规则，保证参与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常德市第二届</w:t>
      </w:r>
      <w:r>
        <w:rPr>
          <w:rFonts w:ascii="Times New Roman" w:hAnsi="Times New Roman" w:eastAsia="仿宋_GB2312"/>
          <w:color w:val="auto"/>
          <w:sz w:val="32"/>
          <w:szCs w:val="32"/>
        </w:rPr>
        <w:t>银发经济消费季活动的产品价格，不高于参加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常德市第二届</w:t>
      </w:r>
      <w:r>
        <w:rPr>
          <w:rFonts w:ascii="Times New Roman" w:hAnsi="Times New Roman" w:eastAsia="仿宋_GB2312"/>
          <w:color w:val="auto"/>
          <w:sz w:val="32"/>
          <w:szCs w:val="32"/>
        </w:rPr>
        <w:t>银发经济消费季活动前1个月内本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企业（机构）</w:t>
      </w:r>
      <w:r>
        <w:rPr>
          <w:rFonts w:ascii="Times New Roman" w:hAnsi="Times New Roman" w:eastAsia="仿宋_GB2312"/>
          <w:color w:val="auto"/>
          <w:sz w:val="32"/>
          <w:szCs w:val="32"/>
        </w:rPr>
        <w:t>同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类</w:t>
      </w:r>
      <w:r>
        <w:rPr>
          <w:rFonts w:ascii="Times New Roman" w:hAnsi="Times New Roman" w:eastAsia="仿宋_GB2312"/>
          <w:color w:val="auto"/>
          <w:sz w:val="32"/>
          <w:szCs w:val="32"/>
        </w:rPr>
        <w:t>产品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或服务</w:t>
      </w:r>
      <w:r>
        <w:rPr>
          <w:rFonts w:ascii="Times New Roman" w:hAnsi="Times New Roman" w:eastAsia="仿宋_GB2312"/>
          <w:color w:val="auto"/>
          <w:sz w:val="32"/>
          <w:szCs w:val="32"/>
        </w:rPr>
        <w:t>的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实际</w:t>
      </w:r>
      <w:r>
        <w:rPr>
          <w:rFonts w:ascii="Times New Roman" w:hAnsi="Times New Roman" w:eastAsia="仿宋_GB2312"/>
          <w:color w:val="auto"/>
          <w:sz w:val="32"/>
          <w:szCs w:val="32"/>
        </w:rPr>
        <w:t>成交价格。向社会公开</w:t>
      </w:r>
      <w:r>
        <w:rPr>
          <w:rFonts w:ascii="Times New Roman" w:hAnsi="Times New Roman" w:eastAsia="仿宋_GB2312"/>
          <w:color w:val="000000"/>
          <w:sz w:val="32"/>
          <w:szCs w:val="32"/>
        </w:rPr>
        <w:t>承诺，不虚标价格，不以次充好，接受消费者监督。</w:t>
      </w:r>
    </w:p>
    <w:p w14:paraId="205692A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4.承诺做好对参与银发经济消费季活动消费者的服务工作，不降低服务水平和质量。</w:t>
      </w:r>
    </w:p>
    <w:p w14:paraId="5C87D6F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5.承诺如实记录产品信息和交易信息，不以虚构交易等不正当方式套取补贴政策优惠。</w:t>
      </w:r>
    </w:p>
    <w:p w14:paraId="73D4D29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6.自愿接受相关部门、媒体以及消费者的监督，接受首届银发经济消费季活动工作牵头部门的工作指导，针对自查及主管部门审查发现的问题及时落实整改。</w:t>
      </w:r>
    </w:p>
    <w:p w14:paraId="5F44D3F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如果违反以上承诺，本企业/门店愿意无条件承担相应后果和法律责任。</w:t>
      </w:r>
    </w:p>
    <w:p w14:paraId="5FF7E1B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17D4CA7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13F02E0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ascii="Times New Roman" w:hAnsi="Times New Roman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承诺企业/门店（盖章）：</w:t>
      </w:r>
    </w:p>
    <w:p w14:paraId="3700F90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法人代表或负责人签字：</w:t>
      </w:r>
    </w:p>
    <w:p w14:paraId="2766D1D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联系方式：</w:t>
      </w:r>
    </w:p>
    <w:p w14:paraId="4EA9F99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center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2D5DCCE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center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241083C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right"/>
        <w:textAlignment w:val="auto"/>
        <w:rPr>
          <w:rFonts w:ascii="Times New Roman" w:hAnsi="Times New Roman"/>
          <w:lang w:eastAsia="zh-CN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/>
          <w:color w:val="000000"/>
          <w:sz w:val="32"/>
          <w:szCs w:val="32"/>
        </w:rPr>
        <w:t>日</w:t>
      </w:r>
    </w:p>
    <w:sectPr>
      <w:footerReference r:id="rId3" w:type="default"/>
      <w:pgSz w:w="11906" w:h="16838"/>
      <w:pgMar w:top="2154" w:right="1474" w:bottom="136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ialog">
    <w:altName w:val="DejaVu San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Luxi Sans">
    <w:altName w:val="华文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EFA56">
    <w:pPr>
      <w:pStyle w:val="9"/>
      <w:framePr w:wrap="around" w:vAnchor="text" w:hAnchor="margin" w:xAlign="outside" w:y="1"/>
      <w:rPr>
        <w:rStyle w:val="17"/>
        <w:rFonts w:ascii="宋体"/>
        <w:sz w:val="28"/>
        <w:szCs w:val="28"/>
      </w:rPr>
    </w:pPr>
    <w:r>
      <w:rPr>
        <w:rStyle w:val="17"/>
        <w:rFonts w:hint="eastAsia" w:ascii="宋体"/>
        <w:sz w:val="28"/>
        <w:szCs w:val="28"/>
      </w:rPr>
      <w:t xml:space="preserve">— </w:t>
    </w:r>
    <w:r>
      <w:rPr>
        <w:rStyle w:val="17"/>
        <w:rFonts w:hint="eastAsia" w:ascii="宋体"/>
        <w:sz w:val="28"/>
        <w:szCs w:val="28"/>
      </w:rPr>
      <w:fldChar w:fldCharType="begin"/>
    </w:r>
    <w:r>
      <w:rPr>
        <w:rStyle w:val="17"/>
        <w:rFonts w:hint="eastAsia" w:ascii="宋体"/>
        <w:sz w:val="28"/>
        <w:szCs w:val="28"/>
      </w:rPr>
      <w:instrText xml:space="preserve">PAGE  </w:instrText>
    </w:r>
    <w:r>
      <w:rPr>
        <w:rStyle w:val="17"/>
        <w:rFonts w:hint="eastAsia" w:ascii="宋体"/>
        <w:sz w:val="28"/>
        <w:szCs w:val="28"/>
      </w:rPr>
      <w:fldChar w:fldCharType="separate"/>
    </w:r>
    <w:r>
      <w:rPr>
        <w:rStyle w:val="17"/>
        <w:rFonts w:hint="eastAsia" w:ascii="宋体"/>
        <w:sz w:val="28"/>
        <w:szCs w:val="28"/>
      </w:rPr>
      <w:t>4</w:t>
    </w:r>
    <w:r>
      <w:rPr>
        <w:rStyle w:val="17"/>
        <w:rFonts w:hint="eastAsia" w:ascii="宋体"/>
        <w:sz w:val="28"/>
        <w:szCs w:val="28"/>
      </w:rPr>
      <w:fldChar w:fldCharType="end"/>
    </w:r>
    <w:r>
      <w:rPr>
        <w:rStyle w:val="17"/>
        <w:rFonts w:hint="eastAsia" w:ascii="宋体"/>
        <w:sz w:val="28"/>
        <w:szCs w:val="28"/>
      </w:rPr>
      <w:t xml:space="preserve"> —</w:t>
    </w:r>
  </w:p>
  <w:p w14:paraId="632D99A8">
    <w:pPr>
      <w:pStyle w:val="6"/>
      <w:spacing w:before="1" w:line="177" w:lineRule="auto"/>
      <w:rPr>
        <w:sz w:val="34"/>
        <w:szCs w:val="3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AA"/>
    <w:rsid w:val="002015AA"/>
    <w:rsid w:val="00352E39"/>
    <w:rsid w:val="004301B7"/>
    <w:rsid w:val="00C77489"/>
    <w:rsid w:val="00D071C7"/>
    <w:rsid w:val="00D96ECA"/>
    <w:rsid w:val="095B70FF"/>
    <w:rsid w:val="10E77679"/>
    <w:rsid w:val="11CC5CBE"/>
    <w:rsid w:val="137ED2C4"/>
    <w:rsid w:val="15A40693"/>
    <w:rsid w:val="1B21278E"/>
    <w:rsid w:val="1FF6432F"/>
    <w:rsid w:val="22097155"/>
    <w:rsid w:val="29EB4505"/>
    <w:rsid w:val="2C2348E9"/>
    <w:rsid w:val="306C0C0D"/>
    <w:rsid w:val="373CFD7A"/>
    <w:rsid w:val="3FFB04F2"/>
    <w:rsid w:val="42DA0411"/>
    <w:rsid w:val="43F9DF28"/>
    <w:rsid w:val="52DA5D7A"/>
    <w:rsid w:val="54EBB5BC"/>
    <w:rsid w:val="5ADB8574"/>
    <w:rsid w:val="5B401FD7"/>
    <w:rsid w:val="5EDF5697"/>
    <w:rsid w:val="5EFE7B43"/>
    <w:rsid w:val="5FAC6B44"/>
    <w:rsid w:val="5FFBE1C4"/>
    <w:rsid w:val="62FE563A"/>
    <w:rsid w:val="63F9B60B"/>
    <w:rsid w:val="65E0427C"/>
    <w:rsid w:val="6BE06162"/>
    <w:rsid w:val="6D93558F"/>
    <w:rsid w:val="6FC438EB"/>
    <w:rsid w:val="76B2CF1C"/>
    <w:rsid w:val="77C53B04"/>
    <w:rsid w:val="77DF92BD"/>
    <w:rsid w:val="79D453D6"/>
    <w:rsid w:val="7BDC4758"/>
    <w:rsid w:val="7CFA6B1E"/>
    <w:rsid w:val="7D072282"/>
    <w:rsid w:val="7FEF72FA"/>
    <w:rsid w:val="9D5DC270"/>
    <w:rsid w:val="9EE7FA7D"/>
    <w:rsid w:val="9F6E1D35"/>
    <w:rsid w:val="9FF3C142"/>
    <w:rsid w:val="AFFE5D8F"/>
    <w:rsid w:val="BF75962C"/>
    <w:rsid w:val="D7D2D087"/>
    <w:rsid w:val="DDDF81D8"/>
    <w:rsid w:val="DEBF7D68"/>
    <w:rsid w:val="DF6BCD08"/>
    <w:rsid w:val="ED6F7770"/>
    <w:rsid w:val="EDEB7FCE"/>
    <w:rsid w:val="F67CE3F6"/>
    <w:rsid w:val="F7DA6F64"/>
    <w:rsid w:val="FAEAD255"/>
    <w:rsid w:val="FD3DE6AC"/>
    <w:rsid w:val="FEA7EC11"/>
    <w:rsid w:val="FEF2D8E5"/>
    <w:rsid w:val="FEFF35B4"/>
    <w:rsid w:val="FF3FA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Dialog" w:hAnsi="Dialog" w:eastAsia="方正小标宋_GBK" w:cs="Dialog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200" w:firstLineChars="200"/>
    </w:pPr>
    <w:rPr>
      <w:rFonts w:ascii="宋体" w:hAnsi="宋体" w:eastAsia="仿宋_GB2312"/>
      <w:sz w:val="32"/>
      <w:szCs w:val="32"/>
    </w:rPr>
  </w:style>
  <w:style w:type="paragraph" w:styleId="6">
    <w:name w:val="Body Text"/>
    <w:basedOn w:val="1"/>
    <w:qFormat/>
    <w:uiPriority w:val="0"/>
    <w:rPr>
      <w:rFonts w:ascii="宋体" w:cs="宋体"/>
      <w:sz w:val="51"/>
      <w:szCs w:val="51"/>
      <w:lang w:eastAsia="en-US"/>
    </w:rPr>
  </w:style>
  <w:style w:type="paragraph" w:styleId="7">
    <w:name w:val="toc 5"/>
    <w:basedOn w:val="1"/>
    <w:next w:val="1"/>
    <w:qFormat/>
    <w:uiPriority w:val="0"/>
    <w:pPr>
      <w:ind w:left="1680"/>
    </w:pPr>
  </w:style>
  <w:style w:type="paragraph" w:styleId="8">
    <w:name w:val="toc 3"/>
    <w:basedOn w:val="1"/>
    <w:next w:val="1"/>
    <w:qFormat/>
    <w:uiPriority w:val="0"/>
    <w:pPr>
      <w:ind w:left="84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1">
    <w:name w:val="toc 1"/>
    <w:basedOn w:val="1"/>
    <w:next w:val="1"/>
    <w:qFormat/>
    <w:uiPriority w:val="0"/>
  </w:style>
  <w:style w:type="paragraph" w:styleId="12">
    <w:name w:val="toc 4"/>
    <w:basedOn w:val="1"/>
    <w:next w:val="1"/>
    <w:qFormat/>
    <w:uiPriority w:val="0"/>
    <w:pPr>
      <w:ind w:left="1260"/>
    </w:pPr>
  </w:style>
  <w:style w:type="paragraph" w:styleId="13">
    <w:name w:val="toc 2"/>
    <w:basedOn w:val="1"/>
    <w:next w:val="1"/>
    <w:qFormat/>
    <w:uiPriority w:val="0"/>
    <w:pPr>
      <w:ind w:left="420"/>
    </w:pPr>
  </w:style>
  <w:style w:type="paragraph" w:styleId="14">
    <w:name w:val="Normal (Web)"/>
    <w:basedOn w:val="1"/>
    <w:qFormat/>
    <w:uiPriority w:val="0"/>
    <w:rPr>
      <w:sz w:val="24"/>
    </w:rPr>
  </w:style>
  <w:style w:type="character" w:styleId="17">
    <w:name w:val="page number"/>
    <w:basedOn w:val="16"/>
    <w:qFormat/>
    <w:uiPriority w:val="0"/>
  </w:style>
  <w:style w:type="paragraph" w:customStyle="1" w:styleId="18">
    <w:name w:val="Char"/>
    <w:basedOn w:val="1"/>
    <w:qFormat/>
    <w:uiPriority w:val="0"/>
    <w:rPr>
      <w:rFonts w:ascii="仿宋_GB2312" w:hAnsi="仿宋_GB2312"/>
    </w:rPr>
  </w:style>
  <w:style w:type="paragraph" w:customStyle="1" w:styleId="19">
    <w:name w:val="Table Text"/>
    <w:basedOn w:val="1"/>
    <w:qFormat/>
    <w:uiPriority w:val="0"/>
    <w:rPr>
      <w:rFonts w:ascii="宋体" w:cs="宋体"/>
      <w:sz w:val="23"/>
      <w:szCs w:val="23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528</Words>
  <Characters>537</Characters>
  <Lines>4</Lines>
  <Paragraphs>1</Paragraphs>
  <TotalTime>4</TotalTime>
  <ScaleCrop>false</ScaleCrop>
  <LinksUpToDate>false</LinksUpToDate>
  <CharactersWithSpaces>541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2025-08-03T04:12:00Z</dcterms:created>
  <dc:creator>谢品品(科创)</dc:creator>
  <cp:lastModifiedBy>greatwall</cp:lastModifiedBy>
  <cp:lastPrinted>2026-09-29T10:11:00Z</cp:lastPrinted>
  <dcterms:modified xsi:type="dcterms:W3CDTF">2026-09-29T10:11:17Z</dcterms:modified>
  <dc:title>关于印发《湖南省民政厅关于推动2025年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61C7129A0BE7D0EE451EBB6A5850C2D2_43</vt:lpwstr>
  </property>
  <property fmtid="{D5CDD505-2E9C-101B-9397-08002B2CF9AE}" pid="4" name="KSOTemplateDocerSaveRecord">
    <vt:lpwstr>eyJoZGlkIjoiYzExNzFhMGRhNTYxMDRkZWM0ZWJiZGIyOTBkZDc0MTEiLCJ1c2VySWQiOiI3MTk5NDg0NTIifQ==</vt:lpwstr>
  </property>
</Properties>
</file>